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0F1CC" w14:textId="257BFE7D" w:rsidR="0088532F" w:rsidRDefault="00161B39" w:rsidP="00CD5716">
      <w:pPr>
        <w:pStyle w:val="ListParagraph"/>
        <w:numPr>
          <w:ilvl w:val="0"/>
          <w:numId w:val="1"/>
        </w:numPr>
        <w:tabs>
          <w:tab w:val="left" w:pos="426"/>
        </w:tabs>
        <w:spacing w:before="240"/>
        <w:ind w:left="426" w:hanging="426"/>
      </w:pPr>
      <w:r>
        <w:t>The commercial fishing industry was one of the first industries to be affected by the novel coronavirus (COVID-19) due to the loss of key export markets in early 2020. As Australia responded to the pandemic and social restrictions were imposed, there was also a loss of domestic</w:t>
      </w:r>
      <w:r>
        <w:rPr>
          <w:spacing w:val="-14"/>
        </w:rPr>
        <w:t xml:space="preserve"> </w:t>
      </w:r>
      <w:r>
        <w:t>markets</w:t>
      </w:r>
      <w:r>
        <w:rPr>
          <w:spacing w:val="-13"/>
        </w:rPr>
        <w:t xml:space="preserve"> </w:t>
      </w:r>
      <w:r>
        <w:t>further</w:t>
      </w:r>
      <w:r>
        <w:rPr>
          <w:spacing w:val="-11"/>
        </w:rPr>
        <w:t xml:space="preserve"> </w:t>
      </w:r>
      <w:r>
        <w:t>affecting</w:t>
      </w:r>
      <w:r>
        <w:rPr>
          <w:spacing w:val="-12"/>
        </w:rPr>
        <w:t xml:space="preserve"> </w:t>
      </w:r>
      <w:r>
        <w:t>Queensland’s</w:t>
      </w:r>
      <w:r>
        <w:rPr>
          <w:spacing w:val="-10"/>
        </w:rPr>
        <w:t xml:space="preserve"> </w:t>
      </w:r>
      <w:r>
        <w:t>seafood</w:t>
      </w:r>
      <w:r>
        <w:rPr>
          <w:spacing w:val="-12"/>
        </w:rPr>
        <w:t xml:space="preserve"> </w:t>
      </w:r>
      <w:r>
        <w:t>industry.</w:t>
      </w:r>
      <w:r>
        <w:rPr>
          <w:spacing w:val="-10"/>
        </w:rPr>
        <w:t xml:space="preserve"> </w:t>
      </w:r>
      <w:r w:rsidR="009333B6">
        <w:t>T</w:t>
      </w:r>
      <w:r>
        <w:t>he commercial</w:t>
      </w:r>
      <w:r>
        <w:rPr>
          <w:spacing w:val="-12"/>
        </w:rPr>
        <w:t xml:space="preserve"> </w:t>
      </w:r>
      <w:r>
        <w:t>fishing</w:t>
      </w:r>
      <w:r>
        <w:rPr>
          <w:spacing w:val="-6"/>
        </w:rPr>
        <w:t xml:space="preserve"> </w:t>
      </w:r>
      <w:r>
        <w:t>sector</w:t>
      </w:r>
      <w:r>
        <w:rPr>
          <w:spacing w:val="-8"/>
        </w:rPr>
        <w:t xml:space="preserve"> </w:t>
      </w:r>
      <w:r>
        <w:t>continues</w:t>
      </w:r>
      <w:r>
        <w:rPr>
          <w:spacing w:val="-8"/>
        </w:rPr>
        <w:t xml:space="preserve"> </w:t>
      </w:r>
      <w:r>
        <w:t>to</w:t>
      </w:r>
      <w:r>
        <w:rPr>
          <w:spacing w:val="-14"/>
        </w:rPr>
        <w:t xml:space="preserve"> </w:t>
      </w:r>
      <w:r>
        <w:t>face</w:t>
      </w:r>
      <w:r>
        <w:rPr>
          <w:spacing w:val="-8"/>
        </w:rPr>
        <w:t xml:space="preserve"> </w:t>
      </w:r>
      <w:r>
        <w:t>significant</w:t>
      </w:r>
      <w:r>
        <w:rPr>
          <w:spacing w:val="-7"/>
        </w:rPr>
        <w:t xml:space="preserve"> </w:t>
      </w:r>
      <w:r>
        <w:t>economic</w:t>
      </w:r>
      <w:r>
        <w:rPr>
          <w:spacing w:val="-8"/>
        </w:rPr>
        <w:t xml:space="preserve"> </w:t>
      </w:r>
      <w:r>
        <w:t>hardship</w:t>
      </w:r>
      <w:r>
        <w:rPr>
          <w:spacing w:val="-10"/>
        </w:rPr>
        <w:t xml:space="preserve"> </w:t>
      </w:r>
      <w:r>
        <w:t>because</w:t>
      </w:r>
      <w:r>
        <w:rPr>
          <w:spacing w:val="-9"/>
        </w:rPr>
        <w:t xml:space="preserve"> </w:t>
      </w:r>
      <w:r>
        <w:t>of</w:t>
      </w:r>
      <w:r>
        <w:rPr>
          <w:spacing w:val="-7"/>
        </w:rPr>
        <w:t xml:space="preserve"> </w:t>
      </w:r>
      <w:r>
        <w:t>reduced hospitality and tourism markets as well as disruptions to freight</w:t>
      </w:r>
      <w:r>
        <w:rPr>
          <w:spacing w:val="-13"/>
        </w:rPr>
        <w:t xml:space="preserve"> </w:t>
      </w:r>
      <w:r>
        <w:t>markets.</w:t>
      </w:r>
    </w:p>
    <w:p w14:paraId="1230F1CD" w14:textId="6FA953CF" w:rsidR="0088532F" w:rsidRDefault="00161B39" w:rsidP="00CD5716">
      <w:pPr>
        <w:pStyle w:val="ListParagraph"/>
        <w:numPr>
          <w:ilvl w:val="0"/>
          <w:numId w:val="1"/>
        </w:numPr>
        <w:tabs>
          <w:tab w:val="left" w:pos="426"/>
          <w:tab w:val="left" w:pos="545"/>
        </w:tabs>
        <w:spacing w:before="240"/>
        <w:ind w:left="426" w:hanging="426"/>
      </w:pPr>
      <w:r>
        <w:t>There</w:t>
      </w:r>
      <w:r w:rsidRPr="009333B6">
        <w:rPr>
          <w:spacing w:val="-14"/>
        </w:rPr>
        <w:t xml:space="preserve"> </w:t>
      </w:r>
      <w:r>
        <w:t>are</w:t>
      </w:r>
      <w:r w:rsidRPr="009333B6">
        <w:rPr>
          <w:spacing w:val="-13"/>
        </w:rPr>
        <w:t xml:space="preserve"> </w:t>
      </w:r>
      <w:r>
        <w:t>18</w:t>
      </w:r>
      <w:r w:rsidRPr="009333B6">
        <w:rPr>
          <w:spacing w:val="-16"/>
        </w:rPr>
        <w:t xml:space="preserve"> </w:t>
      </w:r>
      <w:r>
        <w:t>commercial</w:t>
      </w:r>
      <w:r w:rsidRPr="009333B6">
        <w:rPr>
          <w:spacing w:val="-19"/>
        </w:rPr>
        <w:t xml:space="preserve"> </w:t>
      </w:r>
      <w:r>
        <w:t>fisheries</w:t>
      </w:r>
      <w:r w:rsidRPr="009333B6">
        <w:rPr>
          <w:spacing w:val="-13"/>
        </w:rPr>
        <w:t xml:space="preserve"> </w:t>
      </w:r>
      <w:r>
        <w:t>in</w:t>
      </w:r>
      <w:r w:rsidRPr="009333B6">
        <w:rPr>
          <w:spacing w:val="-16"/>
        </w:rPr>
        <w:t xml:space="preserve"> </w:t>
      </w:r>
      <w:r>
        <w:t>Queensland</w:t>
      </w:r>
      <w:r w:rsidRPr="009333B6">
        <w:rPr>
          <w:spacing w:val="-16"/>
        </w:rPr>
        <w:t xml:space="preserve"> </w:t>
      </w:r>
      <w:r>
        <w:t>that</w:t>
      </w:r>
      <w:r w:rsidRPr="009333B6">
        <w:rPr>
          <w:spacing w:val="-12"/>
        </w:rPr>
        <w:t xml:space="preserve"> </w:t>
      </w:r>
      <w:r>
        <w:t>have</w:t>
      </w:r>
      <w:r w:rsidRPr="009333B6">
        <w:rPr>
          <w:spacing w:val="-13"/>
        </w:rPr>
        <w:t xml:space="preserve"> </w:t>
      </w:r>
      <w:r>
        <w:t>wildlife</w:t>
      </w:r>
      <w:r w:rsidRPr="009333B6">
        <w:rPr>
          <w:spacing w:val="-13"/>
        </w:rPr>
        <w:t xml:space="preserve"> </w:t>
      </w:r>
      <w:r>
        <w:t>trade</w:t>
      </w:r>
      <w:r w:rsidRPr="009333B6">
        <w:rPr>
          <w:spacing w:val="-16"/>
        </w:rPr>
        <w:t xml:space="preserve"> </w:t>
      </w:r>
      <w:r>
        <w:t>operations</w:t>
      </w:r>
      <w:r w:rsidRPr="009333B6">
        <w:rPr>
          <w:spacing w:val="-16"/>
        </w:rPr>
        <w:t xml:space="preserve"> </w:t>
      </w:r>
      <w:r>
        <w:t xml:space="preserve">approvals, subject to conditions, under the </w:t>
      </w:r>
      <w:r w:rsidR="009333B6" w:rsidRPr="009333B6">
        <w:rPr>
          <w:i/>
        </w:rPr>
        <w:t>Environmental Protection and Biodiversity Conservation Act 1999</w:t>
      </w:r>
      <w:r w:rsidR="009333B6">
        <w:t xml:space="preserve"> (C</w:t>
      </w:r>
      <w:r w:rsidR="00D25387">
        <w:t>wl</w:t>
      </w:r>
      <w:r w:rsidR="009333B6">
        <w:t>th) (</w:t>
      </w:r>
      <w:r>
        <w:t>EPBC Act</w:t>
      </w:r>
      <w:r w:rsidR="009333B6">
        <w:t>)</w:t>
      </w:r>
      <w:r>
        <w:t xml:space="preserve">. </w:t>
      </w:r>
      <w:r w:rsidR="003156D9">
        <w:t>The Commonwealth</w:t>
      </w:r>
      <w:r w:rsidR="008F0541">
        <w:t xml:space="preserve"> </w:t>
      </w:r>
      <w:r w:rsidR="003156D9">
        <w:t>Minister for Environment wrote on the 6</w:t>
      </w:r>
      <w:r w:rsidR="00B460B2">
        <w:t> </w:t>
      </w:r>
      <w:r w:rsidR="003156D9">
        <w:t xml:space="preserve">September 2020 advising that the EPBC Act </w:t>
      </w:r>
      <w:r w:rsidR="00B460B2">
        <w:t xml:space="preserve">export </w:t>
      </w:r>
      <w:r w:rsidR="003156D9">
        <w:t>approval w</w:t>
      </w:r>
      <w:r w:rsidR="00DB4ACB">
        <w:t>ould</w:t>
      </w:r>
      <w:r w:rsidR="003156D9">
        <w:t xml:space="preserve"> be revoked on 30</w:t>
      </w:r>
      <w:r w:rsidR="00B460B2">
        <w:t> </w:t>
      </w:r>
      <w:r w:rsidR="003156D9">
        <w:t xml:space="preserve">September 2020 for </w:t>
      </w:r>
      <w:r w:rsidR="00B460B2">
        <w:t xml:space="preserve">non-compliance against </w:t>
      </w:r>
      <w:r w:rsidR="003156D9">
        <w:t xml:space="preserve">conditions that require consideration of the reforms.  </w:t>
      </w:r>
      <w:r w:rsidR="00DB4ACB">
        <w:t>Unless urgent action was taken, there wa</w:t>
      </w:r>
      <w:r>
        <w:t xml:space="preserve">s a risk that </w:t>
      </w:r>
      <w:r w:rsidR="003156D9">
        <w:t>export from</w:t>
      </w:r>
      <w:r>
        <w:t xml:space="preserve"> the East Coast Inshore fishery w</w:t>
      </w:r>
      <w:r w:rsidR="00DB4ACB">
        <w:t>ould</w:t>
      </w:r>
      <w:r>
        <w:t xml:space="preserve"> </w:t>
      </w:r>
      <w:r w:rsidR="003156D9">
        <w:t>cease</w:t>
      </w:r>
      <w:r>
        <w:t>,</w:t>
      </w:r>
      <w:r w:rsidRPr="009333B6">
        <w:rPr>
          <w:spacing w:val="-5"/>
        </w:rPr>
        <w:t xml:space="preserve"> </w:t>
      </w:r>
      <w:r>
        <w:t>with</w:t>
      </w:r>
      <w:r w:rsidRPr="009333B6">
        <w:rPr>
          <w:spacing w:val="-8"/>
        </w:rPr>
        <w:t xml:space="preserve"> </w:t>
      </w:r>
      <w:r>
        <w:t>further</w:t>
      </w:r>
      <w:r w:rsidRPr="009333B6">
        <w:rPr>
          <w:spacing w:val="-10"/>
        </w:rPr>
        <w:t xml:space="preserve"> </w:t>
      </w:r>
      <w:r>
        <w:t>fisheries</w:t>
      </w:r>
      <w:r w:rsidRPr="009333B6">
        <w:rPr>
          <w:spacing w:val="-5"/>
        </w:rPr>
        <w:t xml:space="preserve"> </w:t>
      </w:r>
      <w:r>
        <w:t>at</w:t>
      </w:r>
      <w:r w:rsidRPr="009333B6">
        <w:rPr>
          <w:spacing w:val="-6"/>
        </w:rPr>
        <w:t xml:space="preserve"> </w:t>
      </w:r>
      <w:r>
        <w:t>risk</w:t>
      </w:r>
      <w:r w:rsidR="003156D9">
        <w:t xml:space="preserve"> of not being reassessed and also impacted</w:t>
      </w:r>
      <w:r w:rsidRPr="009333B6">
        <w:rPr>
          <w:spacing w:val="-6"/>
        </w:rPr>
        <w:t xml:space="preserve"> </w:t>
      </w:r>
      <w:r>
        <w:t>before</w:t>
      </w:r>
      <w:r w:rsidRPr="009333B6">
        <w:rPr>
          <w:spacing w:val="-8"/>
        </w:rPr>
        <w:t xml:space="preserve"> </w:t>
      </w:r>
      <w:r>
        <w:t>the</w:t>
      </w:r>
      <w:r w:rsidRPr="009333B6">
        <w:rPr>
          <w:spacing w:val="-9"/>
        </w:rPr>
        <w:t xml:space="preserve"> </w:t>
      </w:r>
      <w:r>
        <w:t>end</w:t>
      </w:r>
      <w:r w:rsidRPr="009333B6">
        <w:rPr>
          <w:spacing w:val="-8"/>
        </w:rPr>
        <w:t xml:space="preserve"> </w:t>
      </w:r>
      <w:r>
        <w:t>of</w:t>
      </w:r>
      <w:r w:rsidRPr="009333B6">
        <w:rPr>
          <w:spacing w:val="-5"/>
        </w:rPr>
        <w:t xml:space="preserve"> </w:t>
      </w:r>
      <w:r>
        <w:t>2020</w:t>
      </w:r>
      <w:r w:rsidRPr="009333B6">
        <w:rPr>
          <w:spacing w:val="-6"/>
        </w:rPr>
        <w:t xml:space="preserve"> </w:t>
      </w:r>
      <w:r>
        <w:t>and</w:t>
      </w:r>
      <w:r w:rsidRPr="009333B6">
        <w:rPr>
          <w:spacing w:val="-9"/>
        </w:rPr>
        <w:t xml:space="preserve"> </w:t>
      </w:r>
      <w:r>
        <w:t>seven</w:t>
      </w:r>
      <w:r w:rsidRPr="009333B6">
        <w:rPr>
          <w:spacing w:val="-6"/>
        </w:rPr>
        <w:t xml:space="preserve"> </w:t>
      </w:r>
      <w:r>
        <w:t>more in 2021.</w:t>
      </w:r>
    </w:p>
    <w:p w14:paraId="16614845" w14:textId="77777777" w:rsidR="00CB7A67" w:rsidRDefault="00161B39" w:rsidP="00CD5716">
      <w:pPr>
        <w:pStyle w:val="ListParagraph"/>
        <w:numPr>
          <w:ilvl w:val="0"/>
          <w:numId w:val="1"/>
        </w:numPr>
        <w:tabs>
          <w:tab w:val="left" w:pos="426"/>
          <w:tab w:val="left" w:pos="545"/>
        </w:tabs>
        <w:spacing w:before="240"/>
        <w:ind w:left="426" w:hanging="426"/>
      </w:pPr>
      <w:r>
        <w:t xml:space="preserve">The Government released the Queensland </w:t>
      </w:r>
      <w:r w:rsidRPr="000760B4">
        <w:rPr>
          <w:i/>
        </w:rPr>
        <w:t xml:space="preserve">Sustainable Fisheries Strategy 2017-2027 </w:t>
      </w:r>
      <w:r>
        <w:t>(the Strategy) in June 2017.</w:t>
      </w:r>
      <w:r w:rsidR="000760B4" w:rsidRPr="000760B4">
        <w:rPr>
          <w:rFonts w:ascii="Times New Roman" w:eastAsiaTheme="minorHAnsi" w:hAnsi="Times New Roman" w:cs="Times New Roman"/>
          <w:sz w:val="24"/>
          <w:szCs w:val="24"/>
          <w:lang w:eastAsia="en-US" w:bidi="ar-SA"/>
        </w:rPr>
        <w:t xml:space="preserve"> </w:t>
      </w:r>
      <w:r w:rsidR="000760B4" w:rsidRPr="000760B4">
        <w:t>A key action of the Strategy, and a condition of multiple EPBC Act approvals, is the</w:t>
      </w:r>
      <w:r w:rsidR="000760B4">
        <w:t xml:space="preserve"> </w:t>
      </w:r>
      <w:r w:rsidR="000760B4" w:rsidRPr="000760B4">
        <w:t>establishment of harvest strategies for key fisheries. Harvest strategies specify</w:t>
      </w:r>
      <w:r w:rsidR="000760B4">
        <w:t xml:space="preserve"> </w:t>
      </w:r>
      <w:r w:rsidR="000760B4" w:rsidRPr="000760B4">
        <w:t>pre-determined management actions necessary to achieve ecological, economic and/or</w:t>
      </w:r>
      <w:r w:rsidR="000760B4">
        <w:t xml:space="preserve"> </w:t>
      </w:r>
      <w:r w:rsidR="000760B4" w:rsidRPr="000760B4">
        <w:t>social objectives of a fishery</w:t>
      </w:r>
      <w:r w:rsidR="00CB7A67">
        <w:t>.</w:t>
      </w:r>
    </w:p>
    <w:p w14:paraId="1230F1CF" w14:textId="55F98873" w:rsidR="0088532F" w:rsidRDefault="00161B39" w:rsidP="00CD5716">
      <w:pPr>
        <w:pStyle w:val="ListParagraph"/>
        <w:numPr>
          <w:ilvl w:val="0"/>
          <w:numId w:val="1"/>
        </w:numPr>
        <w:tabs>
          <w:tab w:val="left" w:pos="426"/>
          <w:tab w:val="left" w:pos="545"/>
        </w:tabs>
        <w:spacing w:before="240"/>
        <w:ind w:left="426" w:hanging="426"/>
      </w:pPr>
      <w:r>
        <w:t xml:space="preserve">Investment and increased fishing effort warnings have been in place for all Queensland commercial fisheries since March 2014. This creates access and investment uncertainty, compromises the ability of fishing businesses to access commercial finance, and </w:t>
      </w:r>
      <w:r w:rsidR="00CB7A67">
        <w:t>reduces</w:t>
      </w:r>
      <w:r>
        <w:t xml:space="preserve"> innovation</w:t>
      </w:r>
      <w:r>
        <w:rPr>
          <w:spacing w:val="-9"/>
        </w:rPr>
        <w:t xml:space="preserve"> </w:t>
      </w:r>
      <w:r>
        <w:t>and</w:t>
      </w:r>
      <w:r>
        <w:rPr>
          <w:spacing w:val="-8"/>
        </w:rPr>
        <w:t xml:space="preserve"> </w:t>
      </w:r>
      <w:r>
        <w:t>investment.</w:t>
      </w:r>
    </w:p>
    <w:p w14:paraId="1230F1D1" w14:textId="16738721" w:rsidR="0088532F" w:rsidRDefault="00161B39" w:rsidP="00CD5716">
      <w:pPr>
        <w:pStyle w:val="ListParagraph"/>
        <w:numPr>
          <w:ilvl w:val="0"/>
          <w:numId w:val="1"/>
        </w:numPr>
        <w:tabs>
          <w:tab w:val="left" w:pos="426"/>
          <w:tab w:val="left" w:pos="545"/>
        </w:tabs>
        <w:spacing w:before="240"/>
        <w:ind w:left="426" w:hanging="426"/>
      </w:pPr>
      <w:r>
        <w:t>Changes to commercial fishing</w:t>
      </w:r>
      <w:r w:rsidRPr="00CB7A67">
        <w:rPr>
          <w:spacing w:val="-8"/>
        </w:rPr>
        <w:t xml:space="preserve"> </w:t>
      </w:r>
      <w:r>
        <w:t>regulation</w:t>
      </w:r>
      <w:r w:rsidRPr="00CB7A67">
        <w:rPr>
          <w:spacing w:val="-8"/>
        </w:rPr>
        <w:t xml:space="preserve"> </w:t>
      </w:r>
      <w:r w:rsidR="00CB7A67">
        <w:rPr>
          <w:spacing w:val="-8"/>
        </w:rPr>
        <w:t xml:space="preserve">in the </w:t>
      </w:r>
      <w:r w:rsidR="00CB7A67">
        <w:t xml:space="preserve">Fisheries Legislation Amendment Regulation 2020 </w:t>
      </w:r>
      <w:r>
        <w:t>will</w:t>
      </w:r>
      <w:r w:rsidRPr="00CB7A67">
        <w:rPr>
          <w:spacing w:val="-10"/>
        </w:rPr>
        <w:t xml:space="preserve"> </w:t>
      </w:r>
      <w:r>
        <w:t>assist</w:t>
      </w:r>
      <w:r w:rsidRPr="00CB7A67">
        <w:rPr>
          <w:spacing w:val="-10"/>
        </w:rPr>
        <w:t xml:space="preserve"> </w:t>
      </w:r>
      <w:r>
        <w:t>the</w:t>
      </w:r>
      <w:r w:rsidRPr="00CB7A67">
        <w:rPr>
          <w:spacing w:val="-11"/>
        </w:rPr>
        <w:t xml:space="preserve"> </w:t>
      </w:r>
      <w:r>
        <w:t>economic</w:t>
      </w:r>
      <w:r w:rsidRPr="00CB7A67">
        <w:rPr>
          <w:spacing w:val="-10"/>
        </w:rPr>
        <w:t xml:space="preserve"> </w:t>
      </w:r>
      <w:r>
        <w:t>recovery</w:t>
      </w:r>
      <w:r w:rsidRPr="00CB7A67">
        <w:rPr>
          <w:spacing w:val="-9"/>
        </w:rPr>
        <w:t xml:space="preserve"> </w:t>
      </w:r>
      <w:r>
        <w:t>of</w:t>
      </w:r>
      <w:r w:rsidRPr="00CB7A67">
        <w:rPr>
          <w:spacing w:val="-9"/>
        </w:rPr>
        <w:t xml:space="preserve"> </w:t>
      </w:r>
      <w:r>
        <w:t>the</w:t>
      </w:r>
      <w:r w:rsidRPr="00CB7A67">
        <w:rPr>
          <w:spacing w:val="-11"/>
        </w:rPr>
        <w:t xml:space="preserve"> </w:t>
      </w:r>
      <w:r>
        <w:t>industry</w:t>
      </w:r>
      <w:r w:rsidRPr="00CB7A67">
        <w:rPr>
          <w:spacing w:val="-9"/>
        </w:rPr>
        <w:t xml:space="preserve"> </w:t>
      </w:r>
      <w:r>
        <w:t>by</w:t>
      </w:r>
      <w:r w:rsidRPr="00CB7A67">
        <w:rPr>
          <w:spacing w:val="-13"/>
        </w:rPr>
        <w:t xml:space="preserve"> </w:t>
      </w:r>
      <w:r>
        <w:t>reducing</w:t>
      </w:r>
      <w:r w:rsidRPr="00CB7A67">
        <w:rPr>
          <w:spacing w:val="-8"/>
        </w:rPr>
        <w:t xml:space="preserve"> </w:t>
      </w:r>
      <w:r>
        <w:t>red tape and making urgent changes to meet conditions of EPBC Act</w:t>
      </w:r>
      <w:r w:rsidRPr="00CB7A67">
        <w:rPr>
          <w:spacing w:val="-12"/>
        </w:rPr>
        <w:t xml:space="preserve"> </w:t>
      </w:r>
      <w:r>
        <w:t>approvals.</w:t>
      </w:r>
      <w:r w:rsidR="00CB7A67">
        <w:t xml:space="preserve"> </w:t>
      </w:r>
      <w:r>
        <w:t>These changes will also enable the removal of investment warnings.</w:t>
      </w:r>
    </w:p>
    <w:p w14:paraId="1230F1D2" w14:textId="1F2D07C8" w:rsidR="0088532F" w:rsidRDefault="00161B39" w:rsidP="00CD5716">
      <w:pPr>
        <w:pStyle w:val="ListParagraph"/>
        <w:numPr>
          <w:ilvl w:val="0"/>
          <w:numId w:val="1"/>
        </w:numPr>
        <w:tabs>
          <w:tab w:val="left" w:pos="426"/>
          <w:tab w:val="left" w:pos="545"/>
        </w:tabs>
        <w:spacing w:before="240" w:line="242" w:lineRule="auto"/>
        <w:ind w:left="426" w:hanging="426"/>
      </w:pPr>
      <w:r>
        <w:t xml:space="preserve">Extensive consultation </w:t>
      </w:r>
      <w:r w:rsidR="00D25387">
        <w:t>h</w:t>
      </w:r>
      <w:r w:rsidR="00CB7A67">
        <w:t>as</w:t>
      </w:r>
      <w:r>
        <w:t xml:space="preserve"> </w:t>
      </w:r>
      <w:r w:rsidR="00D25387">
        <w:t xml:space="preserve">been </w:t>
      </w:r>
      <w:r>
        <w:t>undertaken on the changes.</w:t>
      </w:r>
    </w:p>
    <w:p w14:paraId="1230F1D3" w14:textId="1EBAF3D8" w:rsidR="0088532F" w:rsidRDefault="00161B39" w:rsidP="00CD5716">
      <w:pPr>
        <w:pStyle w:val="ListParagraph"/>
        <w:numPr>
          <w:ilvl w:val="0"/>
          <w:numId w:val="1"/>
        </w:numPr>
        <w:tabs>
          <w:tab w:val="left" w:pos="426"/>
          <w:tab w:val="left" w:pos="545"/>
        </w:tabs>
        <w:spacing w:before="240"/>
        <w:ind w:left="426" w:hanging="426"/>
      </w:pPr>
      <w:r>
        <w:rPr>
          <w:u w:val="single"/>
        </w:rPr>
        <w:t>Cabinet endorse</w:t>
      </w:r>
      <w:r w:rsidRPr="008E0438">
        <w:rPr>
          <w:u w:val="single"/>
        </w:rPr>
        <w:t>d</w:t>
      </w:r>
      <w:r>
        <w:t xml:space="preserve"> recommending the Fisheries Legislation Amendment Regulation 2020 to </w:t>
      </w:r>
      <w:r w:rsidR="008E0438">
        <w:t xml:space="preserve">the </w:t>
      </w:r>
      <w:r>
        <w:t>Governor in Council for</w:t>
      </w:r>
      <w:r>
        <w:rPr>
          <w:spacing w:val="-6"/>
        </w:rPr>
        <w:t xml:space="preserve"> </w:t>
      </w:r>
      <w:r>
        <w:t>approval.</w:t>
      </w:r>
    </w:p>
    <w:p w14:paraId="1230F1D6" w14:textId="77777777" w:rsidR="0088532F" w:rsidRDefault="00161B39" w:rsidP="00CD5716">
      <w:pPr>
        <w:pStyle w:val="ListParagraph"/>
        <w:numPr>
          <w:ilvl w:val="0"/>
          <w:numId w:val="1"/>
        </w:numPr>
        <w:tabs>
          <w:tab w:val="left" w:pos="426"/>
          <w:tab w:val="left" w:pos="545"/>
        </w:tabs>
        <w:spacing w:before="360"/>
        <w:ind w:left="426" w:hanging="426"/>
        <w:rPr>
          <w:i/>
        </w:rPr>
      </w:pPr>
      <w:r>
        <w:rPr>
          <w:i/>
          <w:u w:val="single"/>
        </w:rPr>
        <w:t>Attachments</w:t>
      </w:r>
    </w:p>
    <w:p w14:paraId="1230F1D7" w14:textId="4FC5D588" w:rsidR="0088532F" w:rsidRDefault="00916694" w:rsidP="00355F32">
      <w:pPr>
        <w:pStyle w:val="ListParagraph"/>
        <w:numPr>
          <w:ilvl w:val="1"/>
          <w:numId w:val="1"/>
        </w:numPr>
        <w:tabs>
          <w:tab w:val="left" w:pos="851"/>
        </w:tabs>
        <w:spacing w:before="120"/>
        <w:ind w:left="850" w:hanging="425"/>
      </w:pPr>
      <w:hyperlink r:id="rId11" w:history="1">
        <w:r w:rsidR="00161B39" w:rsidRPr="009A052B">
          <w:rPr>
            <w:rStyle w:val="Hyperlink"/>
          </w:rPr>
          <w:t>Fisheries Legislation Amendment Regulation 2020</w:t>
        </w:r>
      </w:hyperlink>
    </w:p>
    <w:p w14:paraId="17EFC346" w14:textId="6FA1A1D8" w:rsidR="00390F9F" w:rsidRDefault="00916694" w:rsidP="00BB4E5D">
      <w:pPr>
        <w:pStyle w:val="ListParagraph"/>
        <w:numPr>
          <w:ilvl w:val="1"/>
          <w:numId w:val="1"/>
        </w:numPr>
        <w:tabs>
          <w:tab w:val="left" w:pos="851"/>
        </w:tabs>
        <w:spacing w:before="240"/>
        <w:ind w:left="851" w:hanging="426"/>
      </w:pPr>
      <w:hyperlink r:id="rId12" w:history="1">
        <w:r w:rsidR="00161B39" w:rsidRPr="009A052B">
          <w:rPr>
            <w:rStyle w:val="Hyperlink"/>
          </w:rPr>
          <w:t>Explanatory</w:t>
        </w:r>
        <w:r w:rsidR="00161B39" w:rsidRPr="009A052B">
          <w:rPr>
            <w:rStyle w:val="Hyperlink"/>
            <w:spacing w:val="-2"/>
          </w:rPr>
          <w:t xml:space="preserve"> </w:t>
        </w:r>
        <w:r w:rsidR="00161B39" w:rsidRPr="009A052B">
          <w:rPr>
            <w:rStyle w:val="Hyperlink"/>
          </w:rPr>
          <w:t>Notes</w:t>
        </w:r>
      </w:hyperlink>
    </w:p>
    <w:p w14:paraId="1230F1D8" w14:textId="723470F9" w:rsidR="0088532F" w:rsidRDefault="00916694" w:rsidP="00BB4E5D">
      <w:pPr>
        <w:pStyle w:val="ListParagraph"/>
        <w:numPr>
          <w:ilvl w:val="1"/>
          <w:numId w:val="1"/>
        </w:numPr>
        <w:tabs>
          <w:tab w:val="left" w:pos="851"/>
        </w:tabs>
        <w:spacing w:before="240"/>
        <w:ind w:left="851" w:hanging="426"/>
      </w:pPr>
      <w:hyperlink r:id="rId13" w:history="1">
        <w:r w:rsidR="00390F9F" w:rsidRPr="009A052B">
          <w:rPr>
            <w:rStyle w:val="Hyperlink"/>
          </w:rPr>
          <w:t>Human Rights Certificate</w:t>
        </w:r>
      </w:hyperlink>
    </w:p>
    <w:sectPr w:rsidR="0088532F" w:rsidSect="00D06B9B">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DB12C" w14:textId="77777777" w:rsidR="00E030DD" w:rsidRDefault="00E030DD" w:rsidP="009A2D86">
      <w:r>
        <w:separator/>
      </w:r>
    </w:p>
  </w:endnote>
  <w:endnote w:type="continuationSeparator" w:id="0">
    <w:p w14:paraId="20547DA0" w14:textId="77777777" w:rsidR="00E030DD" w:rsidRDefault="00E030DD" w:rsidP="009A2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B2F60" w14:textId="77777777" w:rsidR="00820378" w:rsidRDefault="008203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0B400" w14:textId="77777777" w:rsidR="00820378" w:rsidRDefault="008203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F2539" w14:textId="77777777" w:rsidR="00820378" w:rsidRDefault="008203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F70E6" w14:textId="77777777" w:rsidR="00E030DD" w:rsidRDefault="00E030DD" w:rsidP="009A2D86">
      <w:r>
        <w:separator/>
      </w:r>
    </w:p>
  </w:footnote>
  <w:footnote w:type="continuationSeparator" w:id="0">
    <w:p w14:paraId="725378CA" w14:textId="77777777" w:rsidR="00E030DD" w:rsidRDefault="00E030DD" w:rsidP="009A2D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94CED" w14:textId="77777777" w:rsidR="00820378" w:rsidRDefault="008203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39448" w14:textId="77777777" w:rsidR="009A2D86" w:rsidRPr="00937A4A" w:rsidRDefault="009A2D86" w:rsidP="009A2D86">
    <w:pPr>
      <w:pBdr>
        <w:top w:val="thinThickLargeGap" w:sz="24" w:space="4" w:color="auto"/>
        <w:left w:val="thinThickLargeGap" w:sz="24" w:space="4" w:color="auto"/>
        <w:bottom w:val="thickThinLargeGap" w:sz="24" w:space="4" w:color="auto"/>
        <w:right w:val="thickThinLargeGap" w:sz="24" w:space="4" w:color="auto"/>
      </w:pBdr>
      <w:jc w:val="center"/>
      <w:rPr>
        <w:b/>
        <w:sz w:val="28"/>
        <w:lang w:eastAsia="en-US"/>
      </w:rPr>
    </w:pPr>
    <w:r w:rsidRPr="00937A4A">
      <w:rPr>
        <w:b/>
        <w:sz w:val="28"/>
        <w:lang w:eastAsia="en-US"/>
      </w:rPr>
      <w:t>Queensland Government</w:t>
    </w:r>
  </w:p>
  <w:p w14:paraId="516C897D" w14:textId="77777777" w:rsidR="009A2D86" w:rsidRPr="00937A4A" w:rsidRDefault="009A2D86" w:rsidP="009A2D86">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b/>
        <w:sz w:val="14"/>
        <w:u w:val="single"/>
        <w:lang w:eastAsia="en-US"/>
      </w:rPr>
    </w:pPr>
  </w:p>
  <w:p w14:paraId="4BE359A6" w14:textId="293E2F90" w:rsidR="009A2D86" w:rsidRPr="00937A4A" w:rsidRDefault="009A2D86" w:rsidP="009A2D86">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b/>
        <w:lang w:eastAsia="en-US"/>
      </w:rPr>
    </w:pPr>
    <w:r w:rsidRPr="00937A4A">
      <w:rPr>
        <w:b/>
        <w:lang w:eastAsia="en-US"/>
      </w:rPr>
      <w:t xml:space="preserve">Cabinet – </w:t>
    </w:r>
    <w:r w:rsidR="00FC6F44">
      <w:rPr>
        <w:b/>
        <w:lang w:eastAsia="en-US"/>
      </w:rPr>
      <w:t>September 2020</w:t>
    </w:r>
  </w:p>
  <w:p w14:paraId="6BF31BF4" w14:textId="6AC0334A" w:rsidR="009A2D86" w:rsidRDefault="00FC6F44" w:rsidP="009A2D86">
    <w:pPr>
      <w:pStyle w:val="Header"/>
      <w:spacing w:before="120"/>
      <w:rPr>
        <w:b/>
        <w:u w:val="single"/>
      </w:rPr>
    </w:pPr>
    <w:r>
      <w:rPr>
        <w:b/>
        <w:u w:val="single"/>
      </w:rPr>
      <w:t xml:space="preserve">Fisheries Legislation </w:t>
    </w:r>
    <w:r w:rsidR="002B5A51">
      <w:rPr>
        <w:b/>
        <w:u w:val="single"/>
      </w:rPr>
      <w:t>Amendment Regulation 2020 to facilitate economic recovery and preserve export approvals</w:t>
    </w:r>
  </w:p>
  <w:p w14:paraId="688459FF" w14:textId="20D412A2" w:rsidR="009A2D86" w:rsidRDefault="009A2D86" w:rsidP="009A2D86">
    <w:pPr>
      <w:pStyle w:val="Header"/>
      <w:spacing w:before="120"/>
      <w:rPr>
        <w:b/>
        <w:u w:val="single"/>
      </w:rPr>
    </w:pPr>
    <w:r>
      <w:rPr>
        <w:b/>
        <w:u w:val="single"/>
      </w:rPr>
      <w:t>Minister</w:t>
    </w:r>
    <w:r w:rsidR="002B5A51">
      <w:rPr>
        <w:b/>
        <w:u w:val="single"/>
      </w:rPr>
      <w:t xml:space="preserve"> for Agricultural </w:t>
    </w:r>
    <w:r w:rsidR="0052038E">
      <w:rPr>
        <w:b/>
        <w:u w:val="single"/>
      </w:rPr>
      <w:t>Industry Development and Fisheries</w:t>
    </w:r>
    <w:r w:rsidR="00820378">
      <w:rPr>
        <w:b/>
        <w:u w:val="single"/>
      </w:rPr>
      <w:t xml:space="preserve"> and Minister for Regional Communities</w:t>
    </w:r>
  </w:p>
  <w:p w14:paraId="398F7DDE" w14:textId="77777777" w:rsidR="009A2D86" w:rsidRDefault="009A2D86" w:rsidP="00872469">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4DDB6" w14:textId="77777777" w:rsidR="00820378" w:rsidRDefault="008203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B66EF0"/>
    <w:multiLevelType w:val="hybridMultilevel"/>
    <w:tmpl w:val="B40A86C0"/>
    <w:lvl w:ilvl="0" w:tplc="F8069936">
      <w:start w:val="1"/>
      <w:numFmt w:val="decimal"/>
      <w:lvlText w:val="%1."/>
      <w:lvlJc w:val="left"/>
      <w:pPr>
        <w:ind w:left="544" w:hanging="360"/>
      </w:pPr>
      <w:rPr>
        <w:rFonts w:hint="default"/>
        <w:i w:val="0"/>
        <w:iCs/>
        <w:spacing w:val="-3"/>
        <w:w w:val="100"/>
        <w:lang w:val="en-AU" w:eastAsia="en-AU" w:bidi="en-AU"/>
      </w:rPr>
    </w:lvl>
    <w:lvl w:ilvl="1" w:tplc="AA9467F8">
      <w:numFmt w:val="bullet"/>
      <w:lvlText w:val=""/>
      <w:lvlJc w:val="left"/>
      <w:pPr>
        <w:ind w:left="969" w:hanging="456"/>
      </w:pPr>
      <w:rPr>
        <w:rFonts w:ascii="Symbol" w:eastAsia="Symbol" w:hAnsi="Symbol" w:cs="Symbol" w:hint="default"/>
        <w:w w:val="100"/>
        <w:sz w:val="23"/>
        <w:szCs w:val="23"/>
        <w:lang w:val="en-AU" w:eastAsia="en-AU" w:bidi="en-AU"/>
      </w:rPr>
    </w:lvl>
    <w:lvl w:ilvl="2" w:tplc="1A0A5CE2">
      <w:numFmt w:val="bullet"/>
      <w:lvlText w:val="•"/>
      <w:lvlJc w:val="left"/>
      <w:pPr>
        <w:ind w:left="1934" w:hanging="456"/>
      </w:pPr>
      <w:rPr>
        <w:rFonts w:hint="default"/>
        <w:lang w:val="en-AU" w:eastAsia="en-AU" w:bidi="en-AU"/>
      </w:rPr>
    </w:lvl>
    <w:lvl w:ilvl="3" w:tplc="BD60B828">
      <w:numFmt w:val="bullet"/>
      <w:lvlText w:val="•"/>
      <w:lvlJc w:val="left"/>
      <w:pPr>
        <w:ind w:left="2909" w:hanging="456"/>
      </w:pPr>
      <w:rPr>
        <w:rFonts w:hint="default"/>
        <w:lang w:val="en-AU" w:eastAsia="en-AU" w:bidi="en-AU"/>
      </w:rPr>
    </w:lvl>
    <w:lvl w:ilvl="4" w:tplc="6F48B41C">
      <w:numFmt w:val="bullet"/>
      <w:lvlText w:val="•"/>
      <w:lvlJc w:val="left"/>
      <w:pPr>
        <w:ind w:left="3883" w:hanging="456"/>
      </w:pPr>
      <w:rPr>
        <w:rFonts w:hint="default"/>
        <w:lang w:val="en-AU" w:eastAsia="en-AU" w:bidi="en-AU"/>
      </w:rPr>
    </w:lvl>
    <w:lvl w:ilvl="5" w:tplc="129083CC">
      <w:numFmt w:val="bullet"/>
      <w:lvlText w:val="•"/>
      <w:lvlJc w:val="left"/>
      <w:pPr>
        <w:ind w:left="4858" w:hanging="456"/>
      </w:pPr>
      <w:rPr>
        <w:rFonts w:hint="default"/>
        <w:lang w:val="en-AU" w:eastAsia="en-AU" w:bidi="en-AU"/>
      </w:rPr>
    </w:lvl>
    <w:lvl w:ilvl="6" w:tplc="B6D2179A">
      <w:numFmt w:val="bullet"/>
      <w:lvlText w:val="•"/>
      <w:lvlJc w:val="left"/>
      <w:pPr>
        <w:ind w:left="5832" w:hanging="456"/>
      </w:pPr>
      <w:rPr>
        <w:rFonts w:hint="default"/>
        <w:lang w:val="en-AU" w:eastAsia="en-AU" w:bidi="en-AU"/>
      </w:rPr>
    </w:lvl>
    <w:lvl w:ilvl="7" w:tplc="DD629D10">
      <w:numFmt w:val="bullet"/>
      <w:lvlText w:val="•"/>
      <w:lvlJc w:val="left"/>
      <w:pPr>
        <w:ind w:left="6807" w:hanging="456"/>
      </w:pPr>
      <w:rPr>
        <w:rFonts w:hint="default"/>
        <w:lang w:val="en-AU" w:eastAsia="en-AU" w:bidi="en-AU"/>
      </w:rPr>
    </w:lvl>
    <w:lvl w:ilvl="8" w:tplc="E65878E4">
      <w:numFmt w:val="bullet"/>
      <w:lvlText w:val="•"/>
      <w:lvlJc w:val="left"/>
      <w:pPr>
        <w:ind w:left="7782" w:hanging="456"/>
      </w:pPr>
      <w:rPr>
        <w:rFonts w:hint="default"/>
        <w:lang w:val="en-AU" w:eastAsia="en-AU" w:bidi="en-A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32F"/>
    <w:rsid w:val="000760B4"/>
    <w:rsid w:val="00110A4C"/>
    <w:rsid w:val="00161B39"/>
    <w:rsid w:val="00274D65"/>
    <w:rsid w:val="002B5A51"/>
    <w:rsid w:val="003156D9"/>
    <w:rsid w:val="00355F32"/>
    <w:rsid w:val="00390F9F"/>
    <w:rsid w:val="0052038E"/>
    <w:rsid w:val="006B1D8A"/>
    <w:rsid w:val="007E3C65"/>
    <w:rsid w:val="00820378"/>
    <w:rsid w:val="00872469"/>
    <w:rsid w:val="0088532F"/>
    <w:rsid w:val="008E0438"/>
    <w:rsid w:val="008F0541"/>
    <w:rsid w:val="00916694"/>
    <w:rsid w:val="009333B6"/>
    <w:rsid w:val="009A052B"/>
    <w:rsid w:val="009A2D86"/>
    <w:rsid w:val="009C19AF"/>
    <w:rsid w:val="009F2206"/>
    <w:rsid w:val="00B460B2"/>
    <w:rsid w:val="00BB4E5D"/>
    <w:rsid w:val="00C364F4"/>
    <w:rsid w:val="00C76C55"/>
    <w:rsid w:val="00CB7A67"/>
    <w:rsid w:val="00CD5716"/>
    <w:rsid w:val="00D06B9B"/>
    <w:rsid w:val="00D25387"/>
    <w:rsid w:val="00DB4ACB"/>
    <w:rsid w:val="00E01C11"/>
    <w:rsid w:val="00E030DD"/>
    <w:rsid w:val="00E62FC8"/>
    <w:rsid w:val="00FC6F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0F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AU" w:eastAsia="en-AU" w:bidi="en-AU"/>
    </w:rPr>
  </w:style>
  <w:style w:type="paragraph" w:styleId="Heading1">
    <w:name w:val="heading 1"/>
    <w:basedOn w:val="Normal"/>
    <w:uiPriority w:val="9"/>
    <w:qFormat/>
    <w:pPr>
      <w:ind w:left="117"/>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44" w:hanging="360"/>
      <w:jc w:val="both"/>
    </w:pPr>
  </w:style>
  <w:style w:type="paragraph" w:styleId="ListParagraph">
    <w:name w:val="List Paragraph"/>
    <w:basedOn w:val="Normal"/>
    <w:uiPriority w:val="1"/>
    <w:qFormat/>
    <w:pPr>
      <w:spacing w:before="80"/>
      <w:ind w:left="544" w:hanging="36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333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3B6"/>
    <w:rPr>
      <w:rFonts w:ascii="Segoe UI" w:eastAsia="Arial" w:hAnsi="Segoe UI" w:cs="Segoe UI"/>
      <w:sz w:val="18"/>
      <w:szCs w:val="18"/>
      <w:lang w:val="en-AU" w:eastAsia="en-AU" w:bidi="en-AU"/>
    </w:rPr>
  </w:style>
  <w:style w:type="character" w:styleId="CommentReference">
    <w:name w:val="annotation reference"/>
    <w:basedOn w:val="DefaultParagraphFont"/>
    <w:uiPriority w:val="99"/>
    <w:semiHidden/>
    <w:unhideWhenUsed/>
    <w:rsid w:val="000760B4"/>
    <w:rPr>
      <w:sz w:val="16"/>
      <w:szCs w:val="16"/>
    </w:rPr>
  </w:style>
  <w:style w:type="paragraph" w:styleId="CommentText">
    <w:name w:val="annotation text"/>
    <w:basedOn w:val="Normal"/>
    <w:link w:val="CommentTextChar"/>
    <w:uiPriority w:val="99"/>
    <w:semiHidden/>
    <w:unhideWhenUsed/>
    <w:rsid w:val="000760B4"/>
    <w:rPr>
      <w:sz w:val="20"/>
      <w:szCs w:val="20"/>
    </w:rPr>
  </w:style>
  <w:style w:type="character" w:customStyle="1" w:styleId="CommentTextChar">
    <w:name w:val="Comment Text Char"/>
    <w:basedOn w:val="DefaultParagraphFont"/>
    <w:link w:val="CommentText"/>
    <w:uiPriority w:val="99"/>
    <w:semiHidden/>
    <w:rsid w:val="000760B4"/>
    <w:rPr>
      <w:rFonts w:ascii="Arial" w:eastAsia="Arial" w:hAnsi="Arial" w:cs="Aria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0760B4"/>
    <w:rPr>
      <w:b/>
      <w:bCs/>
    </w:rPr>
  </w:style>
  <w:style w:type="character" w:customStyle="1" w:styleId="CommentSubjectChar">
    <w:name w:val="Comment Subject Char"/>
    <w:basedOn w:val="CommentTextChar"/>
    <w:link w:val="CommentSubject"/>
    <w:uiPriority w:val="99"/>
    <w:semiHidden/>
    <w:rsid w:val="000760B4"/>
    <w:rPr>
      <w:rFonts w:ascii="Arial" w:eastAsia="Arial" w:hAnsi="Arial" w:cs="Arial"/>
      <w:b/>
      <w:bCs/>
      <w:sz w:val="20"/>
      <w:szCs w:val="20"/>
      <w:lang w:val="en-AU" w:eastAsia="en-AU" w:bidi="en-AU"/>
    </w:rPr>
  </w:style>
  <w:style w:type="paragraph" w:styleId="Header">
    <w:name w:val="header"/>
    <w:basedOn w:val="Normal"/>
    <w:link w:val="HeaderChar"/>
    <w:uiPriority w:val="99"/>
    <w:unhideWhenUsed/>
    <w:rsid w:val="009A2D86"/>
    <w:pPr>
      <w:tabs>
        <w:tab w:val="center" w:pos="4680"/>
        <w:tab w:val="right" w:pos="9360"/>
      </w:tabs>
    </w:pPr>
  </w:style>
  <w:style w:type="character" w:customStyle="1" w:styleId="HeaderChar">
    <w:name w:val="Header Char"/>
    <w:basedOn w:val="DefaultParagraphFont"/>
    <w:link w:val="Header"/>
    <w:uiPriority w:val="99"/>
    <w:rsid w:val="009A2D86"/>
    <w:rPr>
      <w:rFonts w:ascii="Arial" w:eastAsia="Arial" w:hAnsi="Arial" w:cs="Arial"/>
      <w:lang w:val="en-AU" w:eastAsia="en-AU" w:bidi="en-AU"/>
    </w:rPr>
  </w:style>
  <w:style w:type="paragraph" w:styleId="Footer">
    <w:name w:val="footer"/>
    <w:basedOn w:val="Normal"/>
    <w:link w:val="FooterChar"/>
    <w:uiPriority w:val="99"/>
    <w:unhideWhenUsed/>
    <w:rsid w:val="009A2D86"/>
    <w:pPr>
      <w:tabs>
        <w:tab w:val="center" w:pos="4680"/>
        <w:tab w:val="right" w:pos="9360"/>
      </w:tabs>
    </w:pPr>
  </w:style>
  <w:style w:type="character" w:customStyle="1" w:styleId="FooterChar">
    <w:name w:val="Footer Char"/>
    <w:basedOn w:val="DefaultParagraphFont"/>
    <w:link w:val="Footer"/>
    <w:uiPriority w:val="99"/>
    <w:rsid w:val="009A2D86"/>
    <w:rPr>
      <w:rFonts w:ascii="Arial" w:eastAsia="Arial" w:hAnsi="Arial" w:cs="Arial"/>
      <w:lang w:val="en-AU" w:eastAsia="en-AU" w:bidi="en-AU"/>
    </w:rPr>
  </w:style>
  <w:style w:type="character" w:styleId="Hyperlink">
    <w:name w:val="Hyperlink"/>
    <w:basedOn w:val="DefaultParagraphFont"/>
    <w:uiPriority w:val="99"/>
    <w:unhideWhenUsed/>
    <w:rsid w:val="009A052B"/>
    <w:rPr>
      <w:color w:val="0000FF" w:themeColor="hyperlink"/>
      <w:u w:val="single"/>
    </w:rPr>
  </w:style>
  <w:style w:type="character" w:styleId="UnresolvedMention">
    <w:name w:val="Unresolved Mention"/>
    <w:basedOn w:val="DefaultParagraphFont"/>
    <w:uiPriority w:val="99"/>
    <w:semiHidden/>
    <w:unhideWhenUsed/>
    <w:rsid w:val="009A05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ttachments/HRC.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Attachments/ExNotes.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ttachments/Reg.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2" ma:contentTypeDescription="Create a new document." ma:contentTypeScope="" ma:versionID="7e538717045ba8c4542e567ba37eee19">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a224d5baee3e657733ae9bfbebb045c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C3C9A8-8C37-41EF-A990-695B6F2B94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1EF03F-9E2F-40DC-B943-8ACAD5C4DF90}">
  <ds:schemaRefs>
    <ds:schemaRef ds:uri="http://schemas.openxmlformats.org/officeDocument/2006/bibliography"/>
  </ds:schemaRefs>
</ds:datastoreItem>
</file>

<file path=customXml/itemProps3.xml><?xml version="1.0" encoding="utf-8"?>
<ds:datastoreItem xmlns:ds="http://schemas.openxmlformats.org/officeDocument/2006/customXml" ds:itemID="{EC0903A9-D718-430F-B2F3-16962C95A05D}">
  <ds:schemaRefs>
    <ds:schemaRef ds:uri="http://schemas.microsoft.com/sharepoint/v3/contenttype/forms"/>
  </ds:schemaRefs>
</ds:datastoreItem>
</file>

<file path=customXml/itemProps4.xml><?xml version="1.0" encoding="utf-8"?>
<ds:datastoreItem xmlns:ds="http://schemas.openxmlformats.org/officeDocument/2006/customXml" ds:itemID="{EE100E32-15D1-4A2E-9A78-D051240B6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362</Words>
  <Characters>2116</Characters>
  <Application>Microsoft Office Word</Application>
  <DocSecurity>0</DocSecurity>
  <Lines>34</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CharactersWithSpaces>
  <SharedDoc>false</SharedDoc>
  <HyperlinkBase>https://www.cabinet.qld.gov.au/documents/2020/Sep/FisheriesLegAR/</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18</cp:revision>
  <dcterms:created xsi:type="dcterms:W3CDTF">2020-11-22T23:26:00Z</dcterms:created>
  <dcterms:modified xsi:type="dcterms:W3CDTF">2021-09-07T00:56:00Z</dcterms:modified>
  <cp:category>Fisheries,Regulation,Environmental_Protection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2020-07-06T00:00:00Z</vt:filetime>
  </property>
  <property fmtid="{D5CDD505-2E9C-101B-9397-08002B2CF9AE}" pid="3" name="Creator">
    <vt:lpwstr>Microsoft® Word 2016</vt:lpwstr>
  </property>
  <property fmtid="{D5CDD505-2E9C-101B-9397-08002B2CF9AE}" pid="4" name="LastSaved">
    <vt:filetime>2020-07-08T00:00:00Z</vt:filetime>
  </property>
  <property fmtid="{D5CDD505-2E9C-101B-9397-08002B2CF9AE}" pid="5" name="ContentTypeId">
    <vt:lpwstr>0x010100DDE14CFDD070B24F85F5DE43654FF01E</vt:lpwstr>
  </property>
</Properties>
</file>